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Приложение 5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  <w:lang w:val="kk-KZ"/>
        </w:rPr>
      </w:pPr>
      <w:r w:rsidRPr="00271B01">
        <w:rPr>
          <w:sz w:val="28"/>
          <w:szCs w:val="28"/>
        </w:rPr>
        <w:t>к Правилам мониторинга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  <w:lang w:val="kk-KZ"/>
        </w:rPr>
      </w:pPr>
      <w:r w:rsidRPr="00271B01">
        <w:rPr>
          <w:sz w:val="28"/>
          <w:szCs w:val="28"/>
        </w:rPr>
        <w:t>валютных операций в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Республике Казахстан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right"/>
        <w:outlineLvl w:val="0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Форма, предназначенная для сбора административных данных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</w:p>
    <w:p w:rsidR="000262AA" w:rsidRPr="00271B01" w:rsidRDefault="000262AA" w:rsidP="000262AA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0262AA" w:rsidRPr="00271B01" w:rsidRDefault="000262AA" w:rsidP="000262AA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271B01">
        <w:rPr>
          <w:sz w:val="28"/>
          <w:szCs w:val="28"/>
        </w:rPr>
        <w:t>интернет-ресурсе</w:t>
      </w:r>
      <w:proofErr w:type="spellEnd"/>
      <w:r w:rsidRPr="00271B01">
        <w:rPr>
          <w:sz w:val="28"/>
          <w:szCs w:val="28"/>
        </w:rPr>
        <w:t>:</w:t>
      </w:r>
      <w:r w:rsidRPr="00271B01">
        <w:rPr>
          <w:sz w:val="28"/>
          <w:szCs w:val="28"/>
          <w:lang w:val="kk-KZ"/>
        </w:rPr>
        <w:t xml:space="preserve"> </w:t>
      </w:r>
      <w:r w:rsidRPr="00271B01">
        <w:rPr>
          <w:sz w:val="28"/>
          <w:szCs w:val="28"/>
        </w:rPr>
        <w:t xml:space="preserve">www.nationalbank.kz 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Отчет об исполнении обязательств</w:t>
      </w: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ind w:firstLine="709"/>
        <w:jc w:val="both"/>
        <w:rPr>
          <w:bCs/>
          <w:sz w:val="28"/>
          <w:szCs w:val="28"/>
        </w:rPr>
      </w:pPr>
      <w:r w:rsidRPr="00271B01">
        <w:rPr>
          <w:sz w:val="28"/>
          <w:szCs w:val="28"/>
        </w:rPr>
        <w:t>Индекс формы административных данных: ПР-Д-5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Периодичность: ежеквартальная</w:t>
      </w:r>
    </w:p>
    <w:p w:rsidR="000262AA" w:rsidRPr="00271B01" w:rsidRDefault="000262AA" w:rsidP="000262AA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Отчетный период: </w:t>
      </w:r>
      <w:r w:rsidRPr="00271B01">
        <w:rPr>
          <w:bCs/>
          <w:sz w:val="28"/>
          <w:szCs w:val="28"/>
        </w:rPr>
        <w:t xml:space="preserve">__________ </w:t>
      </w:r>
      <w:r w:rsidRPr="00271B01">
        <w:rPr>
          <w:sz w:val="28"/>
          <w:szCs w:val="28"/>
        </w:rPr>
        <w:t>квартал</w:t>
      </w:r>
      <w:r w:rsidRPr="00271B01">
        <w:rPr>
          <w:bCs/>
          <w:sz w:val="28"/>
          <w:szCs w:val="28"/>
        </w:rPr>
        <w:t xml:space="preserve"> ____ года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Круг лиц, представляющих информацию: резидент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</w:p>
    <w:p w:rsidR="000262AA" w:rsidRPr="00271B01" w:rsidRDefault="000262AA" w:rsidP="000262AA">
      <w:pPr>
        <w:rPr>
          <w:sz w:val="28"/>
          <w:szCs w:val="28"/>
        </w:rPr>
      </w:pPr>
      <w:r w:rsidRPr="00271B01">
        <w:rPr>
          <w:sz w:val="28"/>
          <w:szCs w:val="28"/>
        </w:rPr>
        <w:br w:type="page"/>
      </w:r>
    </w:p>
    <w:p w:rsidR="000262AA" w:rsidRPr="00271B01" w:rsidRDefault="000262AA" w:rsidP="000262AA">
      <w:pPr>
        <w:widowControl w:val="0"/>
        <w:ind w:firstLine="709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Форма</w:t>
      </w:r>
    </w:p>
    <w:p w:rsidR="000262AA" w:rsidRPr="00271B01" w:rsidRDefault="000262AA" w:rsidP="000262AA">
      <w:pPr>
        <w:widowControl w:val="0"/>
        <w:ind w:firstLine="709"/>
        <w:jc w:val="right"/>
        <w:rPr>
          <w:sz w:val="28"/>
          <w:szCs w:val="28"/>
        </w:rPr>
      </w:pP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Учетный номер Национального Банка Республики Казахстан __________</w:t>
      </w:r>
    </w:p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Раздел 1. Сведения об и</w:t>
      </w:r>
      <w:r w:rsidRPr="00271B01">
        <w:rPr>
          <w:bCs/>
          <w:sz w:val="28"/>
          <w:szCs w:val="28"/>
        </w:rPr>
        <w:t>сполнении обязательств</w:t>
      </w:r>
    </w:p>
    <w:p w:rsidR="000262AA" w:rsidRPr="00271B01" w:rsidRDefault="000262AA" w:rsidP="000262AA">
      <w:pPr>
        <w:widowControl w:val="0"/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687"/>
        <w:gridCol w:w="872"/>
        <w:gridCol w:w="1217"/>
        <w:gridCol w:w="909"/>
        <w:gridCol w:w="1134"/>
        <w:gridCol w:w="709"/>
        <w:gridCol w:w="596"/>
        <w:gridCol w:w="663"/>
        <w:gridCol w:w="867"/>
      </w:tblGrid>
      <w:tr w:rsidR="000262AA" w:rsidRPr="00271B01" w:rsidTr="005677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Вид исполнения обязательства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Код назначения платежа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Название актива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Отправитель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Бенефициар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Дата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Валюта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Сумма, тысяч единиц валюты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Примечание</w:t>
            </w:r>
          </w:p>
        </w:tc>
      </w:tr>
      <w:tr w:rsidR="000262AA" w:rsidRPr="00271B01" w:rsidTr="0056779C">
        <w:trPr>
          <w:cantSplit/>
          <w:trHeight w:val="1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 xml:space="preserve">Признак </w:t>
            </w:r>
            <w:proofErr w:type="spellStart"/>
            <w:r w:rsidRPr="00271B01">
              <w:t>резидентства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Наименование, фамилия, имя, отчество (при наличии)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 xml:space="preserve">Признак </w:t>
            </w:r>
            <w:proofErr w:type="spellStart"/>
            <w:r w:rsidRPr="00271B01">
              <w:t>резидентства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Наименование, фамилия, имя, отчество (при наличии)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</w:tr>
      <w:tr w:rsidR="000262AA" w:rsidRPr="00271B01" w:rsidTr="00567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12</w:t>
            </w:r>
          </w:p>
        </w:tc>
      </w:tr>
      <w:tr w:rsidR="000262AA" w:rsidRPr="00271B01" w:rsidTr="00567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</w:tr>
      <w:tr w:rsidR="000262AA" w:rsidRPr="00271B01" w:rsidTr="00567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</w:tr>
      <w:tr w:rsidR="000262AA" w:rsidRPr="00271B01" w:rsidTr="00567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</w:p>
        </w:tc>
      </w:tr>
    </w:tbl>
    <w:p w:rsidR="000262AA" w:rsidRPr="00271B01" w:rsidRDefault="000262AA" w:rsidP="000262AA">
      <w:pPr>
        <w:widowControl w:val="0"/>
        <w:jc w:val="center"/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Раздел 2. Сведения о накопленной стоимости и доходах</w:t>
      </w: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тысяч долларов Соединенных Штатов Америки (далее – США)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8"/>
        <w:gridCol w:w="7289"/>
        <w:gridCol w:w="1108"/>
      </w:tblGrid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Код строки</w:t>
            </w:r>
          </w:p>
        </w:tc>
        <w:tc>
          <w:tcPr>
            <w:tcW w:w="7544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Наименование показателя</w:t>
            </w:r>
          </w:p>
        </w:tc>
        <w:tc>
          <w:tcPr>
            <w:tcW w:w="1127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Всего</w:t>
            </w: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А</w:t>
            </w:r>
          </w:p>
        </w:tc>
        <w:tc>
          <w:tcPr>
            <w:tcW w:w="7544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Б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</w:t>
            </w: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10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jc w:val="both"/>
            </w:pPr>
            <w:r w:rsidRPr="00271B01">
              <w:t>Накопленная стоимость на конец отчетного периода,</w:t>
            </w:r>
          </w:p>
          <w:p w:rsidR="000262AA" w:rsidRPr="00271B01" w:rsidRDefault="000262AA" w:rsidP="0056779C">
            <w:pPr>
              <w:widowControl w:val="0"/>
              <w:jc w:val="both"/>
            </w:pPr>
            <w:r w:rsidRPr="00271B01">
              <w:t>в том числе в виде: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11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ind w:left="227"/>
              <w:jc w:val="both"/>
            </w:pPr>
            <w:r w:rsidRPr="00271B01">
              <w:rPr>
                <w:lang w:val="kk-KZ"/>
              </w:rPr>
              <w:t>д</w:t>
            </w:r>
            <w:proofErr w:type="spellStart"/>
            <w:r w:rsidRPr="00271B01">
              <w:t>енег</w:t>
            </w:r>
            <w:proofErr w:type="spellEnd"/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12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ind w:left="227"/>
              <w:jc w:val="both"/>
            </w:pPr>
            <w:r w:rsidRPr="00271B01">
              <w:t>ценных бумаг, долей участия, в том числе: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  <w:rPr>
                <w:lang w:val="kk-KZ"/>
              </w:rPr>
            </w:pPr>
            <w:r w:rsidRPr="00271B01">
              <w:rPr>
                <w:lang w:val="en-US"/>
              </w:rPr>
              <w:t>12</w:t>
            </w:r>
            <w:r w:rsidRPr="00271B01">
              <w:t>.1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ind w:left="397"/>
              <w:jc w:val="both"/>
              <w:rPr>
                <w:lang w:val="kk-KZ"/>
              </w:rPr>
            </w:pPr>
            <w:r w:rsidRPr="00271B01">
              <w:rPr>
                <w:lang w:val="kk-KZ"/>
              </w:rPr>
              <w:t>акций, паев инвестиционных фондов, фондов денежного рынка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13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ind w:left="227"/>
              <w:jc w:val="both"/>
            </w:pPr>
            <w:r w:rsidRPr="00271B01">
              <w:rPr>
                <w:lang w:val="kk-KZ"/>
              </w:rPr>
              <w:t>н</w:t>
            </w:r>
            <w:proofErr w:type="spellStart"/>
            <w:r w:rsidRPr="00271B01">
              <w:t>едвижимости</w:t>
            </w:r>
            <w:proofErr w:type="spellEnd"/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14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ind w:left="227"/>
              <w:jc w:val="both"/>
            </w:pPr>
            <w:r w:rsidRPr="00271B01">
              <w:t>прочее (расшифровать)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20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jc w:val="both"/>
            </w:pPr>
            <w:r w:rsidRPr="00271B01">
              <w:t>Доход резидента в отчетном периоде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  <w:tr w:rsidR="000262AA" w:rsidRPr="00271B01" w:rsidTr="0056779C">
        <w:tc>
          <w:tcPr>
            <w:tcW w:w="956" w:type="dxa"/>
            <w:vAlign w:val="center"/>
          </w:tcPr>
          <w:p w:rsidR="000262AA" w:rsidRPr="00271B01" w:rsidRDefault="000262AA" w:rsidP="0056779C">
            <w:pPr>
              <w:widowControl w:val="0"/>
              <w:jc w:val="center"/>
            </w:pPr>
            <w:r w:rsidRPr="00271B01">
              <w:t>21</w:t>
            </w:r>
          </w:p>
        </w:tc>
        <w:tc>
          <w:tcPr>
            <w:tcW w:w="7544" w:type="dxa"/>
          </w:tcPr>
          <w:p w:rsidR="000262AA" w:rsidRPr="00271B01" w:rsidRDefault="000262AA" w:rsidP="0056779C">
            <w:pPr>
              <w:widowControl w:val="0"/>
              <w:jc w:val="both"/>
            </w:pPr>
            <w:r w:rsidRPr="00271B01">
              <w:t>Доход нерезидента в отчетном периоде</w:t>
            </w:r>
          </w:p>
        </w:tc>
        <w:tc>
          <w:tcPr>
            <w:tcW w:w="1127" w:type="dxa"/>
          </w:tcPr>
          <w:p w:rsidR="000262AA" w:rsidRPr="00271B01" w:rsidRDefault="000262AA" w:rsidP="0056779C">
            <w:pPr>
              <w:widowControl w:val="0"/>
            </w:pPr>
          </w:p>
        </w:tc>
      </w:tr>
    </w:tbl>
    <w:p w:rsidR="000262AA" w:rsidRPr="00271B01" w:rsidRDefault="000262AA" w:rsidP="000262AA">
      <w:pPr>
        <w:widowControl w:val="0"/>
        <w:jc w:val="both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Примечание: _________________________________________________________</w:t>
      </w:r>
    </w:p>
    <w:p w:rsidR="000262AA" w:rsidRPr="00271B01" w:rsidRDefault="000262AA" w:rsidP="000262AA">
      <w:pPr>
        <w:widowControl w:val="0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____________________________________________________________________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Резидент________________________________________________________</w:t>
      </w:r>
    </w:p>
    <w:p w:rsidR="000262AA" w:rsidRPr="00271B01" w:rsidRDefault="000262AA" w:rsidP="000262AA">
      <w:pPr>
        <w:widowControl w:val="0"/>
        <w:ind w:firstLine="709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(фамилия, имя, отчество (при его наличии) физического лица, наименование юридического лица)</w:t>
      </w:r>
    </w:p>
    <w:p w:rsidR="000262AA" w:rsidRPr="00271B01" w:rsidRDefault="000262AA" w:rsidP="000262AA">
      <w:pPr>
        <w:jc w:val="both"/>
        <w:rPr>
          <w:sz w:val="28"/>
          <w:szCs w:val="28"/>
          <w:lang w:val="kk-KZ"/>
        </w:rPr>
      </w:pPr>
      <w:r w:rsidRPr="00271B01">
        <w:rPr>
          <w:sz w:val="28"/>
          <w:szCs w:val="28"/>
        </w:rPr>
        <w:t xml:space="preserve">Индивидуальный идентификационный номер, бизнес-идентификационный номер </w:t>
      </w:r>
      <w:r w:rsidRPr="00271B01">
        <w:rPr>
          <w:sz w:val="28"/>
          <w:szCs w:val="28"/>
          <w:lang w:val="kk-KZ"/>
        </w:rPr>
        <w:t>___________________________________________________________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Адрес___________________________________________________________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Телефон ____________________________________________________________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Адрес электронной почты ______________________________________________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Исполнитель ____________________________________________________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 xml:space="preserve">                        фамилия, имя и отчество (при его наличии) подпись, телефон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Руководитель или лицо, уполномоченное на подписание отчета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    _____________________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     фамилия, имя и отчество (при его </w:t>
      </w:r>
      <w:proofErr w:type="gramStart"/>
      <w:r w:rsidRPr="00271B01">
        <w:rPr>
          <w:sz w:val="28"/>
          <w:szCs w:val="28"/>
        </w:rPr>
        <w:t xml:space="preserve">наличии)   </w:t>
      </w:r>
      <w:proofErr w:type="gramEnd"/>
      <w:r w:rsidRPr="00271B01">
        <w:rPr>
          <w:sz w:val="28"/>
          <w:szCs w:val="28"/>
        </w:rPr>
        <w:t xml:space="preserve">         подпись, телефон</w:t>
      </w:r>
    </w:p>
    <w:p w:rsidR="000262AA" w:rsidRPr="00271B01" w:rsidRDefault="000262AA" w:rsidP="000262AA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Дата подписания отчета «____» ______________ 20___ года</w:t>
      </w:r>
    </w:p>
    <w:p w:rsidR="000262AA" w:rsidRPr="00271B01" w:rsidRDefault="000262AA" w:rsidP="000262AA">
      <w:pPr>
        <w:rPr>
          <w:sz w:val="28"/>
          <w:szCs w:val="28"/>
        </w:rPr>
      </w:pPr>
      <w:r w:rsidRPr="00271B01">
        <w:rPr>
          <w:sz w:val="28"/>
          <w:szCs w:val="28"/>
        </w:rPr>
        <w:br w:type="page"/>
      </w:r>
    </w:p>
    <w:p w:rsidR="000262AA" w:rsidRPr="00271B01" w:rsidRDefault="000262AA" w:rsidP="000262AA">
      <w:pPr>
        <w:jc w:val="both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t>Приложение</w:t>
      </w:r>
    </w:p>
    <w:p w:rsidR="000262AA" w:rsidRPr="00271B01" w:rsidRDefault="000262AA" w:rsidP="000262AA">
      <w:pPr>
        <w:widowControl w:val="0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t>к форме отчета об</w:t>
      </w:r>
    </w:p>
    <w:p w:rsidR="000262AA" w:rsidRPr="00271B01" w:rsidRDefault="000262AA" w:rsidP="000262AA">
      <w:pPr>
        <w:widowControl w:val="0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t>исполнении обязательств</w:t>
      </w: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Отчет об исполнении обязательств</w:t>
      </w: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  <w:r w:rsidRPr="00271B01">
        <w:rPr>
          <w:bCs/>
          <w:sz w:val="28"/>
          <w:szCs w:val="28"/>
        </w:rPr>
        <w:t xml:space="preserve">(индекс – </w:t>
      </w:r>
      <w:r w:rsidRPr="00271B01">
        <w:rPr>
          <w:sz w:val="28"/>
          <w:szCs w:val="28"/>
        </w:rPr>
        <w:t>ПР-Д-5</w:t>
      </w:r>
      <w:r w:rsidRPr="00271B01">
        <w:rPr>
          <w:bCs/>
          <w:sz w:val="28"/>
          <w:szCs w:val="28"/>
        </w:rPr>
        <w:t>, периодичность – ежеквартальная)</w:t>
      </w: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Глава 1. Общие положения</w:t>
      </w: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</w:p>
    <w:p w:rsidR="000262AA" w:rsidRPr="00271B01" w:rsidRDefault="000262AA" w:rsidP="000262AA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данных, «</w:t>
      </w:r>
      <w:r w:rsidRPr="00271B01">
        <w:rPr>
          <w:sz w:val="28"/>
          <w:szCs w:val="28"/>
        </w:rPr>
        <w:t>Отчет об исполнении обязательств</w:t>
      </w:r>
      <w:r w:rsidRPr="00271B01">
        <w:rPr>
          <w:bCs/>
          <w:sz w:val="28"/>
          <w:szCs w:val="28"/>
        </w:rPr>
        <w:t>» (далее – Форма).</w:t>
      </w:r>
    </w:p>
    <w:p w:rsidR="000262AA" w:rsidRPr="00271B01" w:rsidRDefault="000262AA" w:rsidP="000262AA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2. Форма разработана в соответствии с пунктом 5 статьи 14 Закона Республики Казахстан «О валютном регулировании и валютном контроле».</w:t>
      </w:r>
    </w:p>
    <w:p w:rsidR="000262AA" w:rsidRPr="00271B01" w:rsidRDefault="000262AA" w:rsidP="000262AA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sz w:val="28"/>
          <w:szCs w:val="28"/>
        </w:rPr>
        <w:t>3. Форма представляется ежеквартально резидентами Республики Казахстан по валютным договорам с учетным номером на операции с ценными бумагами, производными финансовыми инструментами, правами собственности на недвижимость, правами на объекты интеллектуальной собственности, на совместную деятельность, доверительное управление, траст, передачу денег и финансовых инструментов профессиональным участникам рынка ценных бумаг, безвозмездную передачу денег и иных валютных ценностей, счета филиалов (представительств) резидента с местом нахождения за пределами Республики Казахстан.</w:t>
      </w:r>
    </w:p>
    <w:p w:rsidR="000262AA" w:rsidRPr="00271B01" w:rsidRDefault="000262AA" w:rsidP="000262AA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4. Форму подписывают руководитель или лицо, уполномоченное на подписание отчета (для юридических лиц), и исполнитель.</w:t>
      </w: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Глава 2. Заполнение Формы</w:t>
      </w:r>
    </w:p>
    <w:p w:rsidR="000262AA" w:rsidRPr="00271B01" w:rsidRDefault="000262AA" w:rsidP="000262AA">
      <w:pPr>
        <w:widowControl w:val="0"/>
        <w:jc w:val="center"/>
        <w:rPr>
          <w:bCs/>
          <w:sz w:val="28"/>
          <w:szCs w:val="28"/>
        </w:rPr>
      </w:pPr>
    </w:p>
    <w:p w:rsidR="000262AA" w:rsidRPr="00271B01" w:rsidRDefault="000262AA" w:rsidP="000262AA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sz w:val="28"/>
          <w:szCs w:val="28"/>
        </w:rPr>
        <w:t xml:space="preserve">5. </w:t>
      </w:r>
      <w:r w:rsidRPr="00271B01">
        <w:rPr>
          <w:bCs/>
          <w:sz w:val="28"/>
          <w:szCs w:val="28"/>
        </w:rPr>
        <w:t>Для целей заполнения Формы используются следующие понятия: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1) программа опционов на ценные бумаги эмитентов-нерезидентов для работников – программа, по которой работник юридического лица-резидента приобретает оговоренное количество ценных бумаг эмитентов-нерезидентов, являющихся инвесторами данного юридического лица и (или) инвесторами инвесторов данного юридического лица;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rFonts w:eastAsia="Calibri"/>
          <w:sz w:val="28"/>
          <w:szCs w:val="28"/>
          <w:lang w:eastAsia="en-US"/>
        </w:rPr>
        <w:t xml:space="preserve">2) </w:t>
      </w:r>
      <w:r w:rsidRPr="00271B01">
        <w:rPr>
          <w:sz w:val="28"/>
          <w:szCs w:val="28"/>
        </w:rPr>
        <w:t>ценные бумаги эмитентов-нерезидентов – финансовые инструменты, признаваемые ценными бумагами в соответствии с законодательством Республики Казахстан и (или) страны эмитента, включая депозитарные расписки, базовым активом которых являются ценные бумаги</w:t>
      </w:r>
      <w:r w:rsidRPr="00271B01">
        <w:rPr>
          <w:sz w:val="28"/>
          <w:szCs w:val="28"/>
        </w:rPr>
        <w:br/>
        <w:t>эмитентов-нерезидентов.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6. В Разделе 1 отражаются сведения об исполнении обязательств по валютному договору в отчетном периоде.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В графе 2 отражается вид исполнения обязательств по валютному договору: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1) в виде платежей и (или) переводов денег;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2) в виде поставки товаров (выполнения работ, оказания услуг);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3) в виде передачи актива (ценные бумаги, доли участия, паи инвестиционных фондов, недвижимость, право на объект интеллектуальной собственности, иные виды актива, требующие расшифровки);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4) иное (требующее расшифровки).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Если исполнение обязательства осуществляется в виде денег, то в графе 3 указывается код назначения платежа, графа 4 не заполняется, а в графах 5, 6, 7, 8, 9, 10, 11 указываются отправитель денег, бенефициар денег, дата платежа, валюта платежа, сумма платежа в тысячах единиц валюты платежа на основе платежного документа на перевод (получение) денег.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Платежи и (или) переводы денег отражаются в Форме, включая налоги.</w:t>
      </w:r>
      <w:r w:rsidRPr="00271B01">
        <w:rPr>
          <w:bCs/>
          <w:sz w:val="28"/>
          <w:szCs w:val="28"/>
        </w:rPr>
        <w:t xml:space="preserve"> В Форме отражается возврат денег (возврат платежа без исполнения).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Если исполнение обязательства осуществляется в виде передачи актива, то в графе 4 указывается наименование актива, графа 3 не заполняется, а в графах 5, 6, 7, 8, 9, 10, 11 указываются лицо, передающее актив, лицо, принимающее актив, дата передачи актива, валюта стоимости актива, сумма стоимости актива в тысячах единиц валюты договора.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Если исполнение обязательства осуществляется в виде выполнения работ, оказания услуг или иным способом, то графы 3, 4 не заполняются, а в графах 5, 6, 7, 8, 9, 10, 11 указываются лицо, исполняющее обязательство, лицо, принимающее исполнение обязательства, дата исполнения обязательства, валюта и сумма стоимости исполненного обязательства в тысячах единиц валюты договора.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Графы 3, 5, 7 заполняются в соответствии с Правилами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14365. Графа 10 заполняется в соответствии с национальным классификатором Республики Казахстан НК РК 07 ISO 4217 «Коды для представления валют и фондов».</w:t>
      </w:r>
    </w:p>
    <w:p w:rsidR="000262AA" w:rsidRPr="00271B01" w:rsidRDefault="000262AA" w:rsidP="000262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При представлении </w:t>
      </w:r>
      <w:r w:rsidRPr="00271B01">
        <w:rPr>
          <w:bCs/>
          <w:sz w:val="28"/>
          <w:szCs w:val="28"/>
        </w:rPr>
        <w:t>Формы</w:t>
      </w:r>
      <w:r w:rsidRPr="00271B01">
        <w:rPr>
          <w:sz w:val="28"/>
          <w:szCs w:val="28"/>
        </w:rPr>
        <w:t xml:space="preserve"> по счету в иностранном банке филиала (представительства) юридического лица с местом нахождения за пределами Республики Казахстан, в </w:t>
      </w:r>
      <w:r w:rsidRPr="00271B01">
        <w:rPr>
          <w:bCs/>
          <w:sz w:val="28"/>
          <w:szCs w:val="28"/>
        </w:rPr>
        <w:t>Форме</w:t>
      </w:r>
      <w:r w:rsidRPr="00271B01">
        <w:rPr>
          <w:sz w:val="28"/>
          <w:szCs w:val="28"/>
        </w:rPr>
        <w:t xml:space="preserve"> отражаются внутрикорпоративные переводы денег: отправленные юридическим лицом данному филиалу (представительству) на этот счет, полученные юридическим лицом от данного филиала (представительства) с этого счета.</w:t>
      </w:r>
    </w:p>
    <w:p w:rsidR="000262AA" w:rsidRPr="00271B01" w:rsidRDefault="000262AA" w:rsidP="000262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7. В Разделе 2 отражаются сведения о накопленной стоимости на конец отчетного периода и доходах за отчетный период.</w:t>
      </w:r>
    </w:p>
    <w:p w:rsidR="000262AA" w:rsidRPr="00271B01" w:rsidRDefault="000262AA" w:rsidP="000262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Раздел 2 заполняется в следующих случаях:</w:t>
      </w:r>
    </w:p>
    <w:p w:rsidR="000262AA" w:rsidRPr="00271B01" w:rsidRDefault="000262AA" w:rsidP="000262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1) при представлении Формы по счету в иностранном банке, открытому </w:t>
      </w:r>
      <w:r w:rsidRPr="00271B01">
        <w:rPr>
          <w:sz w:val="28"/>
          <w:szCs w:val="28"/>
        </w:rPr>
        <w:lastRenderedPageBreak/>
        <w:t>филиалу (представительству) юридического лица с местом нахождения за пределами Республики Казахстан, отражается остаток суммы денег на конец отчетного периода на этом счете, вознаграждение, начисленное резиденту в отчетном периоде иностранным банком по данному счету, включая вклад(ы);</w:t>
      </w:r>
    </w:p>
    <w:p w:rsidR="000262AA" w:rsidRPr="00271B01" w:rsidRDefault="000262AA" w:rsidP="000262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2) при представлении Формы по операциям, связанным с приобретением права собственности на недвижимость за границей: отражается стоимость недвижимости на конец отчетного периода, доход резидента от недвижимости в отчетном периоде;</w:t>
      </w:r>
    </w:p>
    <w:p w:rsidR="000262AA" w:rsidRPr="00271B01" w:rsidRDefault="000262AA" w:rsidP="000262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3) при передаче денег и иного имущества в доверительное управление, траст, отражается стоимость переданного имущества на конец отчетного периода, доходы резидента (нерезидента) в отчетном периоде, в том числе за управление имуществом;</w:t>
      </w:r>
    </w:p>
    <w:p w:rsidR="000262AA" w:rsidRPr="00271B01" w:rsidRDefault="000262AA" w:rsidP="000262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4) по программе опционов на ценные бумаги эмитентов-нерезидентов, заключаемой юридическим лицом-резидентом для своих работников, отражается суммарная стоимость ценных бумаг эмитентов-нерезидентов у работников;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5) по операциям, связанным с передачей денег и финансовых инструментов профессиональным участникам рынка ценных бумаг, осуществляющим валютные операции по поручению клиентов, на счета для учета и хранения денег, принадлежащих клиентам, отражается стоимость переданного имущества на конец отчетного периода, доходы резидента (нерезидента) в отчетном периоде.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8. В случае отсутствия информации за отчетный период Форма представляется с нулевыми значениями.</w:t>
      </w:r>
    </w:p>
    <w:p w:rsidR="000262AA" w:rsidRPr="00271B01" w:rsidRDefault="000262AA" w:rsidP="000262AA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9.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p w:rsidR="00B14098" w:rsidRDefault="000262AA">
      <w:bookmarkStart w:id="0" w:name="_GoBack"/>
      <w:bookmarkEnd w:id="0"/>
    </w:p>
    <w:sectPr w:rsidR="00B1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9F"/>
    <w:rsid w:val="000262AA"/>
    <w:rsid w:val="005264CD"/>
    <w:rsid w:val="00731C9F"/>
    <w:rsid w:val="00B5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716EB-6367-4F94-BB21-D099314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A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26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2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Исмаилова</dc:creator>
  <cp:keywords/>
  <dc:description/>
  <cp:lastModifiedBy>Алтынай Исмаилова</cp:lastModifiedBy>
  <cp:revision>2</cp:revision>
  <dcterms:created xsi:type="dcterms:W3CDTF">2023-05-26T10:59:00Z</dcterms:created>
  <dcterms:modified xsi:type="dcterms:W3CDTF">2023-05-26T10:59:00Z</dcterms:modified>
</cp:coreProperties>
</file>